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1fob9te" w:colFirst="0" w:colLast="0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5910" cy="169608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96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B692E" w:rsidRDefault="004B69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92E" w:rsidRDefault="00C15791">
      <w:pPr>
        <w:pStyle w:val="3"/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70C0"/>
        </w:rPr>
      </w:pPr>
      <w:r>
        <w:rPr>
          <w:rFonts w:ascii="Times New Roman" w:eastAsia="Times New Roman" w:hAnsi="Times New Roman" w:cs="Times New Roman"/>
          <w:color w:val="31849B"/>
        </w:rPr>
        <w:t>XVI Научно-практическая онлайн-конференция педиатров</w:t>
      </w:r>
      <w:r>
        <w:rPr>
          <w:rFonts w:ascii="Times New Roman" w:eastAsia="Times New Roman" w:hAnsi="Times New Roman" w:cs="Times New Roman"/>
          <w:color w:val="31849B"/>
        </w:rPr>
        <w:br/>
        <w:t>«Трудный диагноз: разбор клинических случаев»</w:t>
      </w:r>
    </w:p>
    <w:p w:rsidR="004B692E" w:rsidRDefault="00C15791">
      <w:pPr>
        <w:pStyle w:val="3"/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31849B"/>
        </w:rPr>
      </w:pPr>
      <w:r>
        <w:rPr>
          <w:rFonts w:ascii="Times New Roman" w:eastAsia="Times New Roman" w:hAnsi="Times New Roman" w:cs="Times New Roman"/>
          <w:color w:val="31849B"/>
        </w:rPr>
        <w:t>ПРОГРАММА</w:t>
      </w:r>
    </w:p>
    <w:p w:rsidR="004B692E" w:rsidRDefault="004B6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4B692E" w:rsidRDefault="00C15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22 мая 2024</w:t>
      </w:r>
    </w:p>
    <w:p w:rsidR="004B692E" w:rsidRDefault="00C1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 xml:space="preserve">9:00-10:00 </w:t>
      </w: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>Регистрация участников*</w:t>
      </w:r>
    </w:p>
    <w:p w:rsidR="004B692E" w:rsidRDefault="00C15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(*не входит в программу НМО)</w:t>
      </w:r>
    </w:p>
    <w:p w:rsidR="004B692E" w:rsidRDefault="004B6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</w:p>
    <w:p w:rsidR="004B692E" w:rsidRDefault="00C1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>10:00-10:10</w:t>
      </w: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>Открытие конференции. Приветственное слово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4B692E" w:rsidRDefault="004B6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Османов Исмаил Магомедович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- д.м.н., профессор, главный врач ГБУЗ «Детская городская клиническая больница им. З.А. </w:t>
      </w:r>
      <w:proofErr w:type="spell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Башляевой</w:t>
      </w:r>
      <w:proofErr w:type="spell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ДЗМ», главный педиатр Департамента здравоохранения г. Москвы, главный внештатный детский специалист нефролог ДЗ г. Москвы, заслужен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ный врач Российской Федерации, заслуженный врач г. Москвы</w:t>
      </w:r>
    </w:p>
    <w:p w:rsidR="004B692E" w:rsidRDefault="004B6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Захарова Ирина Николаевна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- д.м.н., профессор, заведующая кафедрой педиатрии им. академика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br/>
        <w:t>Г. Н. Сперанского ФГБОУ ДПО РМАНПО МЗ РФ, заслуженный врач России</w:t>
      </w:r>
    </w:p>
    <w:p w:rsidR="004B692E" w:rsidRDefault="004B6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4B692E" w:rsidRDefault="004B692E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>10:10-11:55</w:t>
      </w: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>Детская гастроэнтерология</w:t>
      </w: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Модератор: Захарова И.Н.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B692E" w:rsidRDefault="004B6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92E" w:rsidRDefault="00C157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 дефекации у детей. Воспитание туалетных навыков у младенцев</w:t>
      </w:r>
    </w:p>
    <w:p w:rsidR="004B692E" w:rsidRDefault="00C157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(*При поддержке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ЗАО Московская фармацевтическая фабрика, не вх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одит в программу НМО)</w:t>
      </w:r>
    </w:p>
    <w:p w:rsidR="004B692E" w:rsidRDefault="00C157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Захарова И.Н.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(15 мин.) </w:t>
      </w:r>
    </w:p>
    <w:p w:rsidR="004B692E" w:rsidRDefault="004B69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92E" w:rsidRDefault="00C157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антацидных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препаратов в лечении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кислотозависимых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заболеваний у детей</w:t>
      </w:r>
    </w:p>
    <w:p w:rsidR="004B692E" w:rsidRDefault="00C157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(*При поддержке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ООО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Опелла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Хелскеа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не входит в программу НМО)</w:t>
      </w:r>
    </w:p>
    <w:p w:rsidR="004B692E" w:rsidRDefault="00C157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Бережная И.В.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(30 мин.)</w:t>
      </w:r>
    </w:p>
    <w:p w:rsidR="004B692E" w:rsidRDefault="004B6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92E" w:rsidRDefault="00C157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Ожирение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метаболически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ассоциированая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болезнь печени – новая угроза 21 века</w:t>
      </w:r>
    </w:p>
    <w:p w:rsidR="004B692E" w:rsidRDefault="00C157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Захарова И.Н.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Бережная И.В., Скоробогатова Е.В. (20 мин.)</w:t>
      </w:r>
    </w:p>
    <w:p w:rsidR="004B692E" w:rsidRDefault="004B6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92E" w:rsidRDefault="00C157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и лечение запоров у детей разного возраста*</w:t>
      </w:r>
    </w:p>
    <w:p w:rsidR="004B692E" w:rsidRDefault="00C157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(*При поддержке ООО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Опелла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Хелскеа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», не входит в программу НМО)</w:t>
      </w:r>
    </w:p>
    <w:p w:rsidR="004B692E" w:rsidRDefault="00C157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Бережная И.В.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(30 мин.)</w:t>
      </w:r>
    </w:p>
    <w:p w:rsidR="004B692E" w:rsidRDefault="004B69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92E" w:rsidRDefault="004B69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92E" w:rsidRDefault="004B69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692E" w:rsidRDefault="00C157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Дискуссия (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мин.)</w:t>
      </w:r>
    </w:p>
    <w:p w:rsidR="004B692E" w:rsidRDefault="004B69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pict>
          <v:rect id="_x0000_i1026" style="width:0;height:1.5pt" o:hralign="center" o:hrstd="t" o:hr="t" fillcolor="#a0a0a0" stroked="f"/>
        </w:pict>
      </w: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>12:20-14:00</w:t>
      </w: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>Детская дерматология и аллергология</w:t>
      </w:r>
    </w:p>
    <w:p w:rsidR="004B692E" w:rsidRDefault="00C1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Модератор: Захарова И.Н.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692E" w:rsidRDefault="004B6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Искусство ведения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атопического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дерматита: как добиться стойкой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ремиссии?*</w:t>
      </w:r>
      <w:proofErr w:type="gramEnd"/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(*При поддержке ООО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Виатрис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», не входит в программу НМО)</w:t>
      </w: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Захарова И.Н.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(30 мин.)</w:t>
      </w:r>
    </w:p>
    <w:p w:rsidR="004B692E" w:rsidRDefault="004B6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Сезонная аллергия и ее влияние на течение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Профилактика и методы коррекции*</w:t>
      </w: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(*При поддержке компании ЛЕО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Фарма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марки LA ROCHE-POSAY, не входит в программу НМО)</w:t>
      </w: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Феденко Е.С. </w:t>
      </w:r>
      <w:r>
        <w:rPr>
          <w:rFonts w:ascii="Times New Roman" w:eastAsia="Times New Roman" w:hAnsi="Times New Roman" w:cs="Times New Roman"/>
          <w:sz w:val="24"/>
          <w:szCs w:val="24"/>
        </w:rPr>
        <w:t>(30 мин.)</w:t>
      </w:r>
    </w:p>
    <w:p w:rsidR="004B692E" w:rsidRDefault="004B6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92E" w:rsidRDefault="00C157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Нарушения со стороны кожи и ее придатков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целиакии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детей</w:t>
      </w:r>
    </w:p>
    <w:p w:rsidR="004B692E" w:rsidRDefault="00C157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Дмит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риева Ю.А. </w:t>
      </w:r>
      <w:r>
        <w:rPr>
          <w:rFonts w:ascii="Times New Roman" w:eastAsia="Times New Roman" w:hAnsi="Times New Roman" w:cs="Times New Roman"/>
          <w:sz w:val="24"/>
          <w:szCs w:val="24"/>
        </w:rPr>
        <w:t>(20 мин.)</w:t>
      </w:r>
    </w:p>
    <w:p w:rsidR="004B692E" w:rsidRDefault="004B6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Подходы к контролю и управлению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Атопическим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дерматитом. Взгляд педиатра* </w:t>
      </w: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(*При поддержке компании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Bayer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не входит в программу НМО)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Захарова И.Н.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(15 мин.) </w:t>
      </w:r>
    </w:p>
    <w:p w:rsidR="004B692E" w:rsidRDefault="004B692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Дискуссия (5 мин.)</w:t>
      </w: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pict>
          <v:rect id="_x0000_i1027" style="width:0;height:1.5pt" o:hralign="center" o:hrstd="t" o:hr="t" fillcolor="#a0a0a0" stroked="f"/>
        </w:pict>
      </w:r>
    </w:p>
    <w:p w:rsidR="004B692E" w:rsidRDefault="004B692E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>14:15-15:30</w:t>
      </w: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>Дифференциальный диагноз</w:t>
      </w:r>
    </w:p>
    <w:p w:rsidR="004B692E" w:rsidRDefault="00C1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Модератор: Захарова И.Н.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692E" w:rsidRDefault="004B6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Дифференциальная диагностика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тубулопатий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нарушением фосфатно-кальциевого обмена </w:t>
      </w: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Мальцев С.В.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 мин.)</w:t>
      </w:r>
    </w:p>
    <w:p w:rsidR="004B692E" w:rsidRDefault="004B6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Современные представления о периодической болезни</w:t>
      </w: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Геворкян А.К. </w:t>
      </w:r>
      <w:r>
        <w:rPr>
          <w:rFonts w:ascii="Times New Roman" w:eastAsia="Times New Roman" w:hAnsi="Times New Roman" w:cs="Times New Roman"/>
          <w:sz w:val="24"/>
          <w:szCs w:val="24"/>
        </w:rPr>
        <w:t>(20 мин.)</w:t>
      </w:r>
    </w:p>
    <w:p w:rsidR="004B692E" w:rsidRDefault="004B6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Диэнцефальная кахексия как редкая причина тяжел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белково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-энергетической недостаточности</w:t>
      </w: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Дмитриева Ю.А., </w:t>
      </w:r>
      <w:r>
        <w:rPr>
          <w:rFonts w:ascii="Times New Roman" w:eastAsia="Times New Roman" w:hAnsi="Times New Roman" w:cs="Times New Roman"/>
          <w:sz w:val="24"/>
          <w:szCs w:val="24"/>
        </w:rPr>
        <w:t>Скоробогатова Е.В., Полякова Ж.В.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 мин.)</w:t>
      </w:r>
    </w:p>
    <w:p w:rsidR="004B692E" w:rsidRDefault="004B6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Дискуссия (15 мин.)</w:t>
      </w:r>
    </w:p>
    <w:p w:rsidR="004B692E" w:rsidRDefault="004B692E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rect id="_x0000_i1028" style="width:0;height:1.5pt" o:hralign="center" o:hrstd="t" o:hr="t" fillcolor="#a0a0a0" stroked="f"/>
        </w:pict>
      </w:r>
    </w:p>
    <w:p w:rsidR="004B692E" w:rsidRDefault="004B6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>15:30-16:30</w:t>
      </w: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>Дискуссия. Ответы на вопросы</w:t>
      </w:r>
    </w:p>
    <w:p w:rsidR="004B692E" w:rsidRDefault="00C15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Модератор: Захарова И.Н.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692E" w:rsidRDefault="00C157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pict>
          <v:rect id="_x0000_i1029" style="width:0;height:1.5pt" o:hralign="center" o:hrstd="t" o:hr="t" fillcolor="#a0a0a0" stroked="f"/>
        </w:pict>
      </w:r>
    </w:p>
    <w:p w:rsidR="004B692E" w:rsidRDefault="004B692E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</w:p>
    <w:p w:rsidR="004B692E" w:rsidRDefault="004B69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692E" w:rsidRDefault="004B69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br w:type="page"/>
      </w:r>
    </w:p>
    <w:p w:rsidR="004B692E" w:rsidRDefault="004B692E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</w:p>
    <w:p w:rsidR="004B692E" w:rsidRDefault="00C15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23 мая 2024</w:t>
      </w:r>
    </w:p>
    <w:p w:rsidR="004B692E" w:rsidRDefault="004B6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692E" w:rsidRDefault="00C1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 xml:space="preserve">9:00-10:00 </w:t>
      </w: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>Регистрация участников*</w:t>
      </w:r>
    </w:p>
    <w:p w:rsidR="004B692E" w:rsidRDefault="00C15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(*не входит в программу НМО)</w:t>
      </w:r>
    </w:p>
    <w:p w:rsidR="004B692E" w:rsidRDefault="004B692E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bookmarkStart w:id="1" w:name="_GoBack"/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>10:00-12:15</w:t>
      </w: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>Разбор клинических случаев. Часть 1</w:t>
      </w:r>
    </w:p>
    <w:bookmarkEnd w:id="1"/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Модератор: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Горяйнова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А.Н.</w:t>
      </w:r>
    </w:p>
    <w:p w:rsidR="004B692E" w:rsidRDefault="004B6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Постинфекционный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гломерулонефрит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что это значит. Значение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нефробиопсии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постановки диагноза. Разбор клинического случая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Горяйнова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Тамбиева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Е.В., Шестериков Н.В., Иванина И.В.,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Бекмурзаева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Г.Б., Баширова З.Р.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(25 мин.)</w:t>
      </w:r>
    </w:p>
    <w:p w:rsidR="004B692E" w:rsidRDefault="004B6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Гемофагоцитарный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синдром у детей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Борзакова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С.Н.,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Тепаев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Р.Ф.,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Пилютик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С.Ф., Каурова Е.П.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 мин.)</w:t>
      </w:r>
    </w:p>
    <w:p w:rsidR="004B692E" w:rsidRDefault="004B6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Острый бронхит у детей. Внедрение клинических рекомендаций в практику врача педиатра* </w:t>
      </w: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(*При поддержке ООО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Опелла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Хелскеа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», не входит в программу НМО)</w:t>
      </w: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латников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А.Л.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(30 мин.)</w:t>
      </w:r>
    </w:p>
    <w:p w:rsidR="004B692E" w:rsidRDefault="004B6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 после пандемии </w:t>
      </w: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Сугян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Н.Г.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 мин.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 ,</w:t>
      </w:r>
      <w:proofErr w:type="gramEnd"/>
    </w:p>
    <w:p w:rsidR="00C15791" w:rsidRDefault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791" w:rsidRDefault="00C15791" w:rsidP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Взгляд педиатра на проблему аллергического ринита* </w:t>
      </w:r>
    </w:p>
    <w:p w:rsidR="00C15791" w:rsidRDefault="00C15791" w:rsidP="00C1579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(*При поддержке ООО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Опелла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Хелскеа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», не входит в программу НМО)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C15791" w:rsidRDefault="00C15791" w:rsidP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Захарова И.Н.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(30 мин.)</w:t>
      </w:r>
    </w:p>
    <w:p w:rsidR="00C15791" w:rsidRDefault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92E" w:rsidRDefault="004B6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Дискуссия (10 мин.)</w:t>
      </w:r>
    </w:p>
    <w:p w:rsidR="004B692E" w:rsidRDefault="004B6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pict>
          <v:rect id="_x0000_i1030" style="width:0;height:1.5pt" o:hralign="center" o:hrstd="t" o:hr="t" fillcolor="#a0a0a0" stroked="f"/>
        </w:pict>
      </w:r>
    </w:p>
    <w:p w:rsidR="004B692E" w:rsidRDefault="004B692E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>12:30-14:00</w:t>
      </w: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>Разбор клинических случаев. Часть 2</w:t>
      </w:r>
    </w:p>
    <w:p w:rsidR="004B692E" w:rsidRDefault="00C1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Модератор: Захарова И.Н.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B692E" w:rsidRDefault="004B6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Лимфаденит у ребенка: к кому обратиться</w:t>
      </w:r>
    </w:p>
    <w:p w:rsidR="004B692E" w:rsidRDefault="00C157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Сугян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Н.Г.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(20 мин.)</w:t>
      </w:r>
    </w:p>
    <w:p w:rsidR="004B692E" w:rsidRDefault="004B69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Синдром Кабуки. Дифференциальный диагноз. Разбор клинического случая</w:t>
      </w: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Горяйнова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А.Н. </w:t>
      </w:r>
      <w:r>
        <w:rPr>
          <w:rFonts w:ascii="Times New Roman" w:eastAsia="Times New Roman" w:hAnsi="Times New Roman" w:cs="Times New Roman"/>
          <w:sz w:val="24"/>
          <w:szCs w:val="24"/>
        </w:rPr>
        <w:t>(20 мин.)</w:t>
      </w:r>
    </w:p>
    <w:p w:rsidR="004B692E" w:rsidRDefault="004B69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Значение двигательной активности в коррекции нарушений липидного профиля</w:t>
      </w: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Пшеничникова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И.И.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 мин.)</w:t>
      </w:r>
    </w:p>
    <w:p w:rsidR="004B692E" w:rsidRDefault="004B69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92E" w:rsidRDefault="00C157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Дискуссия (30 мин.)</w:t>
      </w:r>
    </w:p>
    <w:p w:rsidR="004B692E" w:rsidRDefault="00C157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rect id="_x0000_i1031" style="width:0;height:1.5pt" o:hralign="center" o:hrstd="t" o:hr="t" fillcolor="#a0a0a0" stroked="f"/>
        </w:pict>
      </w:r>
    </w:p>
    <w:p w:rsidR="004B692E" w:rsidRDefault="004B6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>14:00-16:30</w:t>
      </w:r>
    </w:p>
    <w:p w:rsidR="004B692E" w:rsidRDefault="00C15791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>Ответы на вопросы. Подве</w:t>
      </w:r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>дение итогов конференции</w:t>
      </w:r>
    </w:p>
    <w:p w:rsidR="004B692E" w:rsidRDefault="00C15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Модератор: Захарова И.Н.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B692E" w:rsidRDefault="00C157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>
        <w:pict>
          <v:rect id="_x0000_i1032" style="width:0;height:1.5pt" o:hralign="center" o:hrstd="t" o:hr="t" fillcolor="#a0a0a0" stroked="f"/>
        </w:pict>
      </w:r>
    </w:p>
    <w:sectPr w:rsidR="004B692E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2E"/>
    <w:rsid w:val="004B692E"/>
    <w:rsid w:val="00C1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E2DE"/>
  <w15:docId w15:val="{55BF7791-0D56-4269-8352-437E2963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482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259C3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693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Body Text"/>
    <w:basedOn w:val="a"/>
    <w:link w:val="a9"/>
    <w:uiPriority w:val="1"/>
    <w:qFormat/>
    <w:rsid w:val="007656C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i/>
      <w:iCs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7656CE"/>
    <w:rPr>
      <w:rFonts w:ascii="Trebuchet MS" w:eastAsia="Trebuchet MS" w:hAnsi="Trebuchet MS" w:cs="Trebuchet MS"/>
      <w:i/>
      <w:i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SAy+ZN+1Q+q00m4cX53zE63rwQ==">CgMxLjAyCWguMWZvYjl0ZTIJaC4zMGowemxsMghoLmdqZGd4czIJaC4zMGowemxsOAByITE0WnFoV2d1ZElLa3JxQWdfMjNMWEVkWkRfelhDSlVBbg==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Татьяна Сергеевна</dc:creator>
  <cp:lastModifiedBy>Талыков Александр Сергеевич</cp:lastModifiedBy>
  <cp:revision>2</cp:revision>
  <dcterms:created xsi:type="dcterms:W3CDTF">2024-05-15T07:41:00Z</dcterms:created>
  <dcterms:modified xsi:type="dcterms:W3CDTF">2024-05-23T05:22:00Z</dcterms:modified>
</cp:coreProperties>
</file>